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5514"/>
      </w:tblGrid>
      <w:tr w:rsidR="00035F02" w:rsidRPr="00354688" w14:paraId="035DE2FC" w14:textId="77777777" w:rsidTr="00035F02">
        <w:tc>
          <w:tcPr>
            <w:tcW w:w="2802" w:type="dxa"/>
            <w:vAlign w:val="center"/>
          </w:tcPr>
          <w:p w14:paraId="5362B12F" w14:textId="77777777" w:rsidR="00035F02" w:rsidRPr="00FF10BC" w:rsidRDefault="00035F02" w:rsidP="00035F02">
            <w:pPr>
              <w:jc w:val="center"/>
            </w:pPr>
            <w:r w:rsidRPr="00035F02">
              <w:rPr>
                <w:noProof/>
                <w:lang w:val="de-DE" w:eastAsia="de-DE"/>
              </w:rPr>
              <w:drawing>
                <wp:inline distT="0" distB="0" distL="0" distR="0" wp14:anchorId="4ADBD2CE" wp14:editId="6E3309F1">
                  <wp:extent cx="1602838" cy="1822450"/>
                  <wp:effectExtent l="0" t="0" r="0" b="0"/>
                  <wp:docPr id="4" name="Immagine 1" descr="panta-rhei-logo-smalls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ta-rhei-logo-smallscal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16" cy="1825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1" w:type="dxa"/>
            <w:vAlign w:val="center"/>
          </w:tcPr>
          <w:p w14:paraId="0C3428A0" w14:textId="77777777" w:rsidR="00035F02" w:rsidRPr="00035F02" w:rsidRDefault="00035F02" w:rsidP="00035F02">
            <w:pPr>
              <w:jc w:val="center"/>
              <w:rPr>
                <w:sz w:val="36"/>
                <w:szCs w:val="36"/>
                <w:lang w:val="en-US"/>
              </w:rPr>
            </w:pPr>
            <w:proofErr w:type="spellStart"/>
            <w:r w:rsidRPr="00035F02">
              <w:rPr>
                <w:sz w:val="36"/>
                <w:szCs w:val="36"/>
                <w:lang w:val="en-US"/>
              </w:rPr>
              <w:t>Panta</w:t>
            </w:r>
            <w:proofErr w:type="spellEnd"/>
            <w:r w:rsidRPr="00035F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35F02">
              <w:rPr>
                <w:sz w:val="36"/>
                <w:szCs w:val="36"/>
                <w:lang w:val="en-US"/>
              </w:rPr>
              <w:t>Rhei</w:t>
            </w:r>
            <w:proofErr w:type="spellEnd"/>
            <w:r w:rsidRPr="00035F02">
              <w:rPr>
                <w:sz w:val="36"/>
                <w:szCs w:val="36"/>
                <w:lang w:val="en-US"/>
              </w:rPr>
              <w:t xml:space="preserve"> – Everything Flows</w:t>
            </w:r>
          </w:p>
          <w:p w14:paraId="48073FB7" w14:textId="77777777" w:rsidR="00035F02" w:rsidRPr="00035F02" w:rsidRDefault="00035F02" w:rsidP="00035F02">
            <w:pPr>
              <w:jc w:val="center"/>
              <w:rPr>
                <w:sz w:val="36"/>
                <w:szCs w:val="36"/>
                <w:lang w:val="en-US"/>
              </w:rPr>
            </w:pPr>
            <w:r w:rsidRPr="00035F02">
              <w:rPr>
                <w:sz w:val="36"/>
                <w:szCs w:val="36"/>
                <w:lang w:val="en-US"/>
              </w:rPr>
              <w:t>Change in Hydrology and Society</w:t>
            </w:r>
          </w:p>
          <w:p w14:paraId="59243528" w14:textId="77777777" w:rsidR="00035F02" w:rsidRDefault="00035F02" w:rsidP="00035F02">
            <w:pPr>
              <w:jc w:val="center"/>
              <w:rPr>
                <w:sz w:val="36"/>
                <w:szCs w:val="36"/>
                <w:lang w:val="en-US"/>
              </w:rPr>
            </w:pPr>
            <w:r w:rsidRPr="00035F02">
              <w:rPr>
                <w:sz w:val="36"/>
                <w:szCs w:val="36"/>
                <w:lang w:val="en-US"/>
              </w:rPr>
              <w:t>IAHS Scientific Decade 2013-2022</w:t>
            </w:r>
          </w:p>
          <w:p w14:paraId="5D182C07" w14:textId="77777777" w:rsidR="00AE61C5" w:rsidRPr="00AE61C5" w:rsidRDefault="00AE61C5" w:rsidP="00035F02">
            <w:pPr>
              <w:jc w:val="center"/>
              <w:rPr>
                <w:sz w:val="28"/>
                <w:szCs w:val="28"/>
                <w:lang w:val="en-US"/>
              </w:rPr>
            </w:pPr>
            <w:r w:rsidRPr="00AE61C5">
              <w:rPr>
                <w:sz w:val="28"/>
                <w:szCs w:val="28"/>
                <w:lang w:val="en-US"/>
              </w:rPr>
              <w:t>www.iahs.info/pantarhei</w:t>
            </w:r>
          </w:p>
        </w:tc>
      </w:tr>
    </w:tbl>
    <w:p w14:paraId="43D99A3D" w14:textId="77777777" w:rsidR="00AE61C5" w:rsidRDefault="00AE61C5" w:rsidP="00AE61C5">
      <w:pPr>
        <w:rPr>
          <w:lang w:val="en-US"/>
        </w:rPr>
      </w:pPr>
    </w:p>
    <w:p w14:paraId="0907B924" w14:textId="0F837B41" w:rsidR="00AE61C5" w:rsidRPr="00C9469E" w:rsidRDefault="00AB3541" w:rsidP="00AE61C5">
      <w:pPr>
        <w:rPr>
          <w:b/>
          <w:sz w:val="28"/>
          <w:szCs w:val="28"/>
          <w:lang w:val="en-US"/>
        </w:rPr>
      </w:pPr>
      <w:proofErr w:type="spellStart"/>
      <w:r w:rsidRPr="00C9469E">
        <w:rPr>
          <w:b/>
          <w:sz w:val="28"/>
          <w:szCs w:val="28"/>
          <w:lang w:val="en-US"/>
        </w:rPr>
        <w:t>Panta</w:t>
      </w:r>
      <w:proofErr w:type="spellEnd"/>
      <w:r w:rsidRPr="00C9469E">
        <w:rPr>
          <w:b/>
          <w:sz w:val="28"/>
          <w:szCs w:val="28"/>
          <w:lang w:val="en-US"/>
        </w:rPr>
        <w:t xml:space="preserve"> </w:t>
      </w:r>
      <w:proofErr w:type="spellStart"/>
      <w:r w:rsidRPr="00C9469E">
        <w:rPr>
          <w:b/>
          <w:sz w:val="28"/>
          <w:szCs w:val="28"/>
          <w:lang w:val="en-US"/>
        </w:rPr>
        <w:t>Rhei</w:t>
      </w:r>
      <w:proofErr w:type="spellEnd"/>
      <w:r w:rsidRPr="00C9469E">
        <w:rPr>
          <w:b/>
          <w:sz w:val="28"/>
          <w:szCs w:val="28"/>
          <w:lang w:val="en-US"/>
        </w:rPr>
        <w:t xml:space="preserve"> Working Group: </w:t>
      </w:r>
      <w:r w:rsidR="005E1018" w:rsidRPr="00C9469E">
        <w:rPr>
          <w:b/>
          <w:sz w:val="28"/>
          <w:szCs w:val="28"/>
          <w:lang w:val="en-US"/>
        </w:rPr>
        <w:t xml:space="preserve">Changes in Flood Risk </w:t>
      </w:r>
    </w:p>
    <w:p w14:paraId="085649A9" w14:textId="043084D2" w:rsidR="00AE61C5" w:rsidRPr="00C9469E" w:rsidRDefault="008802BA" w:rsidP="00035F02">
      <w:pPr>
        <w:rPr>
          <w:b/>
          <w:sz w:val="28"/>
          <w:szCs w:val="28"/>
          <w:lang w:val="en-US"/>
        </w:rPr>
      </w:pPr>
      <w:r w:rsidRPr="00C9469E">
        <w:rPr>
          <w:b/>
          <w:sz w:val="28"/>
          <w:szCs w:val="28"/>
          <w:lang w:val="en-US"/>
        </w:rPr>
        <w:t>Report of the activ</w:t>
      </w:r>
      <w:r w:rsidR="00C9469E">
        <w:rPr>
          <w:b/>
          <w:sz w:val="28"/>
          <w:szCs w:val="28"/>
          <w:lang w:val="en-US"/>
        </w:rPr>
        <w:t>ity of the working group in 2015</w:t>
      </w:r>
    </w:p>
    <w:p w14:paraId="557DC50D" w14:textId="7DD77E50" w:rsidR="005E1018" w:rsidRPr="00FA20E6" w:rsidRDefault="005E1018" w:rsidP="005E1018">
      <w:pPr>
        <w:rPr>
          <w:lang w:val="en-GB"/>
        </w:rPr>
      </w:pPr>
      <w:r w:rsidRPr="00FA20E6">
        <w:rPr>
          <w:lang w:val="en-GB"/>
        </w:rPr>
        <w:t>T</w:t>
      </w:r>
      <w:r w:rsidR="00C9469E">
        <w:rPr>
          <w:lang w:val="en-GB"/>
        </w:rPr>
        <w:t>hree</w:t>
      </w:r>
      <w:r w:rsidRPr="00FA20E6">
        <w:rPr>
          <w:lang w:val="en-GB"/>
        </w:rPr>
        <w:t xml:space="preserve"> working group</w:t>
      </w:r>
      <w:r w:rsidR="00FA20E6">
        <w:rPr>
          <w:lang w:val="en-GB"/>
        </w:rPr>
        <w:t xml:space="preserve"> (WG)</w:t>
      </w:r>
      <w:r w:rsidRPr="00FA20E6">
        <w:rPr>
          <w:lang w:val="en-GB"/>
        </w:rPr>
        <w:t xml:space="preserve"> meetings</w:t>
      </w:r>
      <w:r w:rsidR="00FA20E6" w:rsidRPr="00FA20E6">
        <w:rPr>
          <w:lang w:val="en-GB"/>
        </w:rPr>
        <w:t xml:space="preserve"> were organised</w:t>
      </w:r>
      <w:r w:rsidRPr="00FA20E6">
        <w:rPr>
          <w:lang w:val="en-GB"/>
        </w:rPr>
        <w:t xml:space="preserve">, one at EGU in April </w:t>
      </w:r>
      <w:r w:rsidR="00FA20E6" w:rsidRPr="00FA20E6">
        <w:rPr>
          <w:lang w:val="en-GB"/>
        </w:rPr>
        <w:t>201</w:t>
      </w:r>
      <w:r w:rsidR="00C9469E">
        <w:rPr>
          <w:lang w:val="en-GB"/>
        </w:rPr>
        <w:t>5</w:t>
      </w:r>
      <w:r w:rsidR="00FA20E6" w:rsidRPr="00FA20E6">
        <w:rPr>
          <w:lang w:val="en-GB"/>
        </w:rPr>
        <w:t xml:space="preserve"> </w:t>
      </w:r>
      <w:r w:rsidRPr="00FA20E6">
        <w:rPr>
          <w:lang w:val="en-GB"/>
        </w:rPr>
        <w:t xml:space="preserve">in Vienna, one at the </w:t>
      </w:r>
      <w:r w:rsidR="00C9469E" w:rsidRPr="00C9469E">
        <w:rPr>
          <w:lang w:val="en-GB"/>
        </w:rPr>
        <w:t xml:space="preserve">ECCA Conference </w:t>
      </w:r>
      <w:r w:rsidR="00C9469E">
        <w:rPr>
          <w:lang w:val="en-GB"/>
        </w:rPr>
        <w:t xml:space="preserve">in </w:t>
      </w:r>
      <w:r w:rsidR="00C9469E" w:rsidRPr="00C9469E">
        <w:rPr>
          <w:lang w:val="en-GB"/>
        </w:rPr>
        <w:t>May 2015 in Copenhagen</w:t>
      </w:r>
      <w:r w:rsidR="00C9469E">
        <w:rPr>
          <w:lang w:val="en-GB"/>
        </w:rPr>
        <w:t>, and one at the AGU in December 2015 in San Francisco</w:t>
      </w:r>
      <w:r w:rsidRPr="00FA20E6">
        <w:rPr>
          <w:lang w:val="en-GB"/>
        </w:rPr>
        <w:t xml:space="preserve">. </w:t>
      </w:r>
      <w:r w:rsidR="00C9469E">
        <w:rPr>
          <w:lang w:val="en-GB"/>
        </w:rPr>
        <w:t xml:space="preserve">During these </w:t>
      </w:r>
      <w:r w:rsidR="00FA20E6">
        <w:rPr>
          <w:lang w:val="en-GB"/>
        </w:rPr>
        <w:t>meeting</w:t>
      </w:r>
      <w:r w:rsidR="00C9469E">
        <w:rPr>
          <w:lang w:val="en-GB"/>
        </w:rPr>
        <w:t>s</w:t>
      </w:r>
      <w:r w:rsidR="00FA20E6">
        <w:rPr>
          <w:lang w:val="en-GB"/>
        </w:rPr>
        <w:t xml:space="preserve"> the </w:t>
      </w:r>
      <w:r w:rsidR="00C9469E">
        <w:rPr>
          <w:lang w:val="en-GB"/>
        </w:rPr>
        <w:t xml:space="preserve">concept for our </w:t>
      </w:r>
      <w:r w:rsidRPr="00FA20E6">
        <w:rPr>
          <w:lang w:val="en-GB"/>
        </w:rPr>
        <w:t xml:space="preserve">joint </w:t>
      </w:r>
      <w:r w:rsidR="00C9469E">
        <w:rPr>
          <w:lang w:val="en-GB"/>
        </w:rPr>
        <w:t xml:space="preserve">paper on paired flood event case studies was developed. The writing of the individual </w:t>
      </w:r>
      <w:proofErr w:type="gramStart"/>
      <w:r w:rsidR="00C9469E">
        <w:rPr>
          <w:lang w:val="en-GB"/>
        </w:rPr>
        <w:t>case-studies</w:t>
      </w:r>
      <w:proofErr w:type="gramEnd"/>
      <w:r w:rsidR="00C9469E">
        <w:rPr>
          <w:lang w:val="en-GB"/>
        </w:rPr>
        <w:t xml:space="preserve"> started in November 2015. </w:t>
      </w:r>
    </w:p>
    <w:p w14:paraId="54FD64E7" w14:textId="77777777" w:rsidR="005E1018" w:rsidRPr="00B5070B" w:rsidRDefault="005E1018" w:rsidP="005E1018">
      <w:pPr>
        <w:rPr>
          <w:b/>
          <w:lang w:val="en-GB"/>
        </w:rPr>
      </w:pPr>
      <w:r w:rsidRPr="00B5070B">
        <w:rPr>
          <w:b/>
          <w:lang w:val="en-GB"/>
        </w:rPr>
        <w:t>(Co-)Organization of Workshop/Sessions:</w:t>
      </w:r>
    </w:p>
    <w:p w14:paraId="743ADC38" w14:textId="4F15C48A" w:rsidR="005E1018" w:rsidRPr="00FA20E6" w:rsidRDefault="005E1018" w:rsidP="005E1018">
      <w:pPr>
        <w:rPr>
          <w:lang w:val="en-GB"/>
        </w:rPr>
      </w:pPr>
      <w:r w:rsidRPr="00FA20E6">
        <w:rPr>
          <w:lang w:val="en-GB"/>
        </w:rPr>
        <w:t xml:space="preserve">Co-organisation of EGU </w:t>
      </w:r>
      <w:r w:rsidR="00C9469E">
        <w:rPr>
          <w:lang w:val="en-GB"/>
        </w:rPr>
        <w:t xml:space="preserve">PICO </w:t>
      </w:r>
      <w:r w:rsidRPr="00FA20E6">
        <w:rPr>
          <w:lang w:val="en-GB"/>
        </w:rPr>
        <w:t xml:space="preserve">session “HS2.4.4 Flood changes: understanding the drivers of hazard and risk” 12–17 Apr 2015, Vienna, Austria </w:t>
      </w:r>
    </w:p>
    <w:p w14:paraId="111F4349" w14:textId="77777777" w:rsidR="005E1018" w:rsidRPr="00FA20E6" w:rsidRDefault="00B5070B" w:rsidP="005E1018">
      <w:pPr>
        <w:rPr>
          <w:lang w:val="en-GB"/>
        </w:rPr>
      </w:pPr>
      <w:r>
        <w:rPr>
          <w:lang w:val="en-GB"/>
        </w:rPr>
        <w:t xml:space="preserve">Organisation of </w:t>
      </w:r>
      <w:r w:rsidR="005E1018" w:rsidRPr="00FA20E6">
        <w:rPr>
          <w:lang w:val="en-GB"/>
        </w:rPr>
        <w:t>Session “Adaptation to changing flood risk”</w:t>
      </w:r>
      <w:r>
        <w:rPr>
          <w:lang w:val="en-GB"/>
        </w:rPr>
        <w:t xml:space="preserve"> at the </w:t>
      </w:r>
      <w:r w:rsidR="005E1018" w:rsidRPr="00FA20E6">
        <w:rPr>
          <w:lang w:val="en-GB"/>
        </w:rPr>
        <w:t>European Climate Change Adaptation Conference (ECCA) 12-14 May 2015, Copenhagen, Denmark</w:t>
      </w:r>
    </w:p>
    <w:p w14:paraId="77651392" w14:textId="0C110044" w:rsidR="005E1018" w:rsidRDefault="00C9469E" w:rsidP="005E1018">
      <w:pPr>
        <w:rPr>
          <w:lang w:val="en-GB"/>
        </w:rPr>
      </w:pPr>
      <w:r>
        <w:rPr>
          <w:lang w:val="en-GB"/>
        </w:rPr>
        <w:t xml:space="preserve">Co-organisation </w:t>
      </w:r>
      <w:r w:rsidR="00B5070B">
        <w:rPr>
          <w:lang w:val="en-GB"/>
        </w:rPr>
        <w:t xml:space="preserve">of </w:t>
      </w:r>
      <w:r w:rsidR="005E1018" w:rsidRPr="00FA20E6">
        <w:rPr>
          <w:lang w:val="en-GB"/>
        </w:rPr>
        <w:t>Session “</w:t>
      </w:r>
      <w:r w:rsidR="00A9463C" w:rsidRPr="00A9463C">
        <w:rPr>
          <w:lang w:val="en-GB"/>
        </w:rPr>
        <w:t>Extreme hydrological events: deciphering changes in hazard and risk at different time-scales</w:t>
      </w:r>
      <w:r w:rsidR="005E1018" w:rsidRPr="00FA20E6">
        <w:rPr>
          <w:lang w:val="en-GB"/>
        </w:rPr>
        <w:t xml:space="preserve">” </w:t>
      </w:r>
      <w:r>
        <w:rPr>
          <w:lang w:val="en-GB"/>
        </w:rPr>
        <w:t xml:space="preserve">at </w:t>
      </w:r>
      <w:r w:rsidR="00B5070B">
        <w:rPr>
          <w:lang w:val="en-GB"/>
        </w:rPr>
        <w:t xml:space="preserve">the </w:t>
      </w:r>
      <w:r w:rsidR="005E1018" w:rsidRPr="00FA20E6">
        <w:rPr>
          <w:lang w:val="en-GB"/>
        </w:rPr>
        <w:t xml:space="preserve">conference “Our Common Future </w:t>
      </w:r>
      <w:proofErr w:type="gramStart"/>
      <w:r w:rsidR="005E1018" w:rsidRPr="00FA20E6">
        <w:rPr>
          <w:lang w:val="en-GB"/>
        </w:rPr>
        <w:t>Under</w:t>
      </w:r>
      <w:proofErr w:type="gramEnd"/>
      <w:r w:rsidR="005E1018" w:rsidRPr="00FA20E6">
        <w:rPr>
          <w:lang w:val="en-GB"/>
        </w:rPr>
        <w:t xml:space="preserve"> Climate Change”, 7-10 JULY 2015, Paris, France</w:t>
      </w:r>
    </w:p>
    <w:p w14:paraId="52465BA6" w14:textId="358EDBD5" w:rsidR="00C9469E" w:rsidRDefault="00C9469E" w:rsidP="00A9463C">
      <w:pPr>
        <w:rPr>
          <w:lang w:val="en-GB"/>
        </w:rPr>
      </w:pPr>
      <w:r>
        <w:rPr>
          <w:lang w:val="en-GB"/>
        </w:rPr>
        <w:t>Co-organisation of EGU session “</w:t>
      </w:r>
      <w:r w:rsidR="00A9463C" w:rsidRPr="00A9463C">
        <w:rPr>
          <w:lang w:val="en-GB"/>
        </w:rPr>
        <w:t>HS2.4.4</w:t>
      </w:r>
      <w:r w:rsidR="00A9463C">
        <w:rPr>
          <w:lang w:val="en-GB"/>
        </w:rPr>
        <w:t xml:space="preserve"> </w:t>
      </w:r>
      <w:r w:rsidR="00A9463C" w:rsidRPr="00A9463C">
        <w:rPr>
          <w:lang w:val="en-GB"/>
        </w:rPr>
        <w:t>Flood dynamics: processes, controls, consequences</w:t>
      </w:r>
      <w:r w:rsidR="00A9463C">
        <w:rPr>
          <w:lang w:val="en-GB"/>
        </w:rPr>
        <w:t xml:space="preserve">”, </w:t>
      </w:r>
      <w:r w:rsidR="00A9463C" w:rsidRPr="00A9463C">
        <w:rPr>
          <w:lang w:val="en-GB"/>
        </w:rPr>
        <w:t>17–22 April 2016</w:t>
      </w:r>
      <w:r w:rsidR="00A9463C">
        <w:rPr>
          <w:lang w:val="en-GB"/>
        </w:rPr>
        <w:t xml:space="preserve"> Vienna Austria</w:t>
      </w:r>
    </w:p>
    <w:p w14:paraId="222F3589" w14:textId="3991EB3F" w:rsidR="00A9463C" w:rsidRPr="00A9463C" w:rsidRDefault="00A9463C" w:rsidP="005E1018">
      <w:pPr>
        <w:rPr>
          <w:b/>
          <w:lang w:val="en-GB"/>
        </w:rPr>
      </w:pPr>
      <w:r w:rsidRPr="00A9463C">
        <w:rPr>
          <w:b/>
          <w:lang w:val="en-GB"/>
        </w:rPr>
        <w:t xml:space="preserve">Poster presentation: </w:t>
      </w:r>
    </w:p>
    <w:p w14:paraId="6CD14E1A" w14:textId="5429E188" w:rsidR="00A9463C" w:rsidRPr="00FA20E6" w:rsidRDefault="00A9463C" w:rsidP="005E1018">
      <w:pPr>
        <w:rPr>
          <w:lang w:val="en-GB"/>
        </w:rPr>
      </w:pPr>
      <w:r w:rsidRPr="00A9463C">
        <w:rPr>
          <w:lang w:val="en-GB"/>
        </w:rPr>
        <w:t xml:space="preserve">Heidi Kreibich and the IAHS </w:t>
      </w:r>
      <w:proofErr w:type="spellStart"/>
      <w:r w:rsidRPr="00A9463C">
        <w:rPr>
          <w:lang w:val="en-GB"/>
        </w:rPr>
        <w:t>Panta</w:t>
      </w:r>
      <w:proofErr w:type="spellEnd"/>
      <w:r w:rsidRPr="00A9463C">
        <w:rPr>
          <w:lang w:val="en-GB"/>
        </w:rPr>
        <w:t xml:space="preserve"> </w:t>
      </w:r>
      <w:proofErr w:type="spellStart"/>
      <w:r w:rsidRPr="00A9463C">
        <w:rPr>
          <w:lang w:val="en-GB"/>
        </w:rPr>
        <w:t>Rhei</w:t>
      </w:r>
      <w:proofErr w:type="spellEnd"/>
      <w:r w:rsidRPr="00A9463C">
        <w:rPr>
          <w:lang w:val="en-GB"/>
        </w:rPr>
        <w:t xml:space="preserve"> Working group "Changes in Flood Risk" Team </w:t>
      </w:r>
      <w:r w:rsidR="00E04763">
        <w:rPr>
          <w:lang w:val="en-GB"/>
        </w:rPr>
        <w:t xml:space="preserve">(2016) </w:t>
      </w:r>
      <w:r>
        <w:rPr>
          <w:lang w:val="en-GB"/>
        </w:rPr>
        <w:t>“</w:t>
      </w:r>
      <w:r w:rsidRPr="00A9463C">
        <w:rPr>
          <w:lang w:val="en-GB"/>
        </w:rPr>
        <w:t>Drivers of flood damage on event level</w:t>
      </w:r>
      <w:r>
        <w:rPr>
          <w:lang w:val="en-GB"/>
        </w:rPr>
        <w:t xml:space="preserve">” in EGU Session HS2.4.4. </w:t>
      </w:r>
      <w:r w:rsidRPr="00A9463C">
        <w:rPr>
          <w:lang w:val="en-GB"/>
        </w:rPr>
        <w:t>Attendance Tue, 19 Apr, 17:30–19:</w:t>
      </w:r>
      <w:r>
        <w:rPr>
          <w:lang w:val="en-GB"/>
        </w:rPr>
        <w:t>00</w:t>
      </w:r>
    </w:p>
    <w:p w14:paraId="7BACAFE3" w14:textId="3C0F6C73" w:rsidR="005E1018" w:rsidRPr="00B5070B" w:rsidRDefault="005E1018" w:rsidP="005E1018">
      <w:pPr>
        <w:rPr>
          <w:b/>
          <w:lang w:val="en-GB"/>
        </w:rPr>
      </w:pPr>
      <w:r w:rsidRPr="00B5070B">
        <w:rPr>
          <w:b/>
          <w:lang w:val="en-GB"/>
        </w:rPr>
        <w:t>Paper</w:t>
      </w:r>
      <w:r w:rsidR="00DC2601">
        <w:rPr>
          <w:b/>
          <w:lang w:val="en-GB"/>
        </w:rPr>
        <w:t>s</w:t>
      </w:r>
      <w:r w:rsidRPr="00B5070B">
        <w:rPr>
          <w:b/>
          <w:lang w:val="en-GB"/>
        </w:rPr>
        <w:t>:</w:t>
      </w:r>
    </w:p>
    <w:p w14:paraId="58AFB805" w14:textId="77777777" w:rsidR="00CF53A3" w:rsidRDefault="00CF53A3" w:rsidP="005E1018">
      <w:pPr>
        <w:rPr>
          <w:lang w:val="en-GB"/>
        </w:rPr>
      </w:pPr>
      <w:r>
        <w:rPr>
          <w:lang w:val="en-GB"/>
        </w:rPr>
        <w:t xml:space="preserve">Kreibich et al. (in preparation) </w:t>
      </w:r>
      <w:r w:rsidRPr="00CF53A3">
        <w:rPr>
          <w:lang w:val="en-GB"/>
        </w:rPr>
        <w:t>Drivers of flood damage – results of paired flood event studies</w:t>
      </w:r>
      <w:r>
        <w:rPr>
          <w:lang w:val="en-GB"/>
        </w:rPr>
        <w:t xml:space="preserve">. </w:t>
      </w:r>
      <w:r w:rsidRPr="00CF53A3">
        <w:rPr>
          <w:lang w:val="en-GB"/>
        </w:rPr>
        <w:t xml:space="preserve">For publication in the </w:t>
      </w:r>
      <w:proofErr w:type="spellStart"/>
      <w:r w:rsidRPr="00CF53A3">
        <w:rPr>
          <w:lang w:val="en-GB"/>
        </w:rPr>
        <w:t>Panta</w:t>
      </w:r>
      <w:proofErr w:type="spellEnd"/>
      <w:r w:rsidRPr="00CF53A3">
        <w:rPr>
          <w:lang w:val="en-GB"/>
        </w:rPr>
        <w:t xml:space="preserve"> </w:t>
      </w:r>
      <w:proofErr w:type="spellStart"/>
      <w:r w:rsidRPr="00CF53A3">
        <w:rPr>
          <w:lang w:val="en-GB"/>
        </w:rPr>
        <w:t>Rhei</w:t>
      </w:r>
      <w:proofErr w:type="spellEnd"/>
      <w:r w:rsidRPr="00CF53A3">
        <w:rPr>
          <w:lang w:val="en-GB"/>
        </w:rPr>
        <w:t xml:space="preserve"> </w:t>
      </w:r>
      <w:proofErr w:type="gramStart"/>
      <w:r w:rsidRPr="00CF53A3">
        <w:rPr>
          <w:lang w:val="en-GB"/>
        </w:rPr>
        <w:t>special</w:t>
      </w:r>
      <w:proofErr w:type="gramEnd"/>
      <w:r w:rsidRPr="00CF53A3">
        <w:rPr>
          <w:lang w:val="en-GB"/>
        </w:rPr>
        <w:t xml:space="preserve"> issue in HESS</w:t>
      </w:r>
      <w:r>
        <w:rPr>
          <w:lang w:val="en-GB"/>
        </w:rPr>
        <w:t>.</w:t>
      </w:r>
    </w:p>
    <w:p w14:paraId="2AE48E61" w14:textId="68337C11" w:rsidR="008802BA" w:rsidRDefault="00A9463C" w:rsidP="005E1018">
      <w:pPr>
        <w:rPr>
          <w:lang w:val="en-GB"/>
        </w:rPr>
      </w:pPr>
      <w:proofErr w:type="spellStart"/>
      <w:r w:rsidRPr="00A9463C">
        <w:rPr>
          <w:lang w:val="en-GB"/>
        </w:rPr>
        <w:lastRenderedPageBreak/>
        <w:t>Kienzler</w:t>
      </w:r>
      <w:proofErr w:type="spellEnd"/>
      <w:r w:rsidRPr="00A9463C">
        <w:rPr>
          <w:lang w:val="en-GB"/>
        </w:rPr>
        <w:t xml:space="preserve">, S., </w:t>
      </w:r>
      <w:proofErr w:type="spellStart"/>
      <w:r w:rsidRPr="00A9463C">
        <w:rPr>
          <w:lang w:val="en-GB"/>
        </w:rPr>
        <w:t>Pech</w:t>
      </w:r>
      <w:proofErr w:type="spellEnd"/>
      <w:r w:rsidRPr="00A9463C">
        <w:rPr>
          <w:lang w:val="en-GB"/>
        </w:rPr>
        <w:t xml:space="preserve">, I., Kreibich, H., Müller, M., </w:t>
      </w:r>
      <w:proofErr w:type="spellStart"/>
      <w:r w:rsidRPr="00A9463C">
        <w:rPr>
          <w:lang w:val="en-GB"/>
        </w:rPr>
        <w:t>Thieken</w:t>
      </w:r>
      <w:proofErr w:type="spellEnd"/>
      <w:r w:rsidRPr="00A9463C">
        <w:rPr>
          <w:lang w:val="en-GB"/>
        </w:rPr>
        <w:t>, A. H. (2015): After the extreme flood in 2002: changes in preparedness, response and recovery of flood-affected residents in Germany between 2005 and 2011. - NHESS, 15, 505-526.</w:t>
      </w:r>
    </w:p>
    <w:p w14:paraId="3E3DECC0" w14:textId="77777777" w:rsidR="008802BA" w:rsidRPr="00A96DAF" w:rsidRDefault="00B5070B" w:rsidP="00AE61C5">
      <w:pPr>
        <w:rPr>
          <w:b/>
          <w:lang w:val="en-GB"/>
        </w:rPr>
      </w:pPr>
      <w:r w:rsidRPr="00A96DAF">
        <w:rPr>
          <w:b/>
          <w:lang w:val="en-GB"/>
        </w:rPr>
        <w:t xml:space="preserve">Benefits of the </w:t>
      </w:r>
      <w:proofErr w:type="spellStart"/>
      <w:r w:rsidRPr="00A96DAF">
        <w:rPr>
          <w:b/>
          <w:lang w:val="en-GB"/>
        </w:rPr>
        <w:t>Panta</w:t>
      </w:r>
      <w:proofErr w:type="spellEnd"/>
      <w:r w:rsidRPr="00A96DAF">
        <w:rPr>
          <w:b/>
          <w:lang w:val="en-GB"/>
        </w:rPr>
        <w:t xml:space="preserve"> </w:t>
      </w:r>
      <w:proofErr w:type="spellStart"/>
      <w:r w:rsidRPr="00A96DAF">
        <w:rPr>
          <w:b/>
          <w:lang w:val="en-GB"/>
        </w:rPr>
        <w:t>Rhei</w:t>
      </w:r>
      <w:proofErr w:type="spellEnd"/>
      <w:r w:rsidRPr="00A96DAF">
        <w:rPr>
          <w:b/>
          <w:lang w:val="en-GB"/>
        </w:rPr>
        <w:t xml:space="preserve"> working group are </w:t>
      </w:r>
      <w:r w:rsidR="00A96DAF" w:rsidRPr="00A96DAF">
        <w:rPr>
          <w:b/>
          <w:lang w:val="en-GB"/>
        </w:rPr>
        <w:t xml:space="preserve">the </w:t>
      </w:r>
      <w:r w:rsidRPr="00A96DAF">
        <w:rPr>
          <w:b/>
          <w:lang w:val="en-GB"/>
        </w:rPr>
        <w:t>following:</w:t>
      </w:r>
    </w:p>
    <w:p w14:paraId="68B06148" w14:textId="77777777" w:rsidR="00B5070B" w:rsidRPr="00786579" w:rsidRDefault="00B5070B" w:rsidP="00786579">
      <w:pPr>
        <w:pStyle w:val="Listenabsatz"/>
        <w:numPr>
          <w:ilvl w:val="0"/>
          <w:numId w:val="1"/>
        </w:numPr>
        <w:rPr>
          <w:lang w:val="en-GB"/>
        </w:rPr>
      </w:pPr>
      <w:r w:rsidRPr="00786579">
        <w:rPr>
          <w:lang w:val="en-GB"/>
        </w:rPr>
        <w:t>Opportunity for cross country comparison case-study</w:t>
      </w:r>
      <w:r w:rsidR="00370D55">
        <w:rPr>
          <w:lang w:val="en-GB"/>
        </w:rPr>
        <w:t xml:space="preserve"> on the dynamics and changes in flood risk</w:t>
      </w:r>
    </w:p>
    <w:p w14:paraId="5190F7B3" w14:textId="421C1C7E" w:rsidR="00A96DAF" w:rsidRPr="00786579" w:rsidRDefault="00786579" w:rsidP="00786579">
      <w:pPr>
        <w:pStyle w:val="Listenabsatz"/>
        <w:numPr>
          <w:ilvl w:val="0"/>
          <w:numId w:val="1"/>
        </w:numPr>
        <w:rPr>
          <w:lang w:val="en-GB"/>
        </w:rPr>
      </w:pPr>
      <w:r w:rsidRPr="00786579">
        <w:rPr>
          <w:lang w:val="en-GB"/>
        </w:rPr>
        <w:t>Intensification of international c</w:t>
      </w:r>
      <w:r w:rsidR="00A96DAF" w:rsidRPr="00786579">
        <w:rPr>
          <w:lang w:val="en-GB"/>
        </w:rPr>
        <w:t>o-operation between hydrologists, engineers and social scientists</w:t>
      </w:r>
      <w:r w:rsidR="00370D55">
        <w:rPr>
          <w:lang w:val="en-GB"/>
        </w:rPr>
        <w:t>, also to explore opportunit</w:t>
      </w:r>
      <w:r w:rsidR="00AB3541">
        <w:rPr>
          <w:lang w:val="en-GB"/>
        </w:rPr>
        <w:t>i</w:t>
      </w:r>
      <w:r w:rsidR="00370D55">
        <w:rPr>
          <w:lang w:val="en-GB"/>
        </w:rPr>
        <w:t>es for joint research projects and synthesis publications</w:t>
      </w:r>
    </w:p>
    <w:p w14:paraId="417B6120" w14:textId="77777777" w:rsidR="00786579" w:rsidRPr="00786579" w:rsidRDefault="00A96DAF" w:rsidP="00786579">
      <w:pPr>
        <w:pStyle w:val="Listenabsatz"/>
        <w:numPr>
          <w:ilvl w:val="0"/>
          <w:numId w:val="1"/>
        </w:numPr>
        <w:rPr>
          <w:lang w:val="en-GB"/>
        </w:rPr>
      </w:pPr>
      <w:r w:rsidRPr="00786579">
        <w:rPr>
          <w:lang w:val="en-GB"/>
        </w:rPr>
        <w:t>Large b</w:t>
      </w:r>
      <w:r w:rsidR="00B5070B" w:rsidRPr="00786579">
        <w:rPr>
          <w:lang w:val="en-GB"/>
        </w:rPr>
        <w:t>asis for organising topical sessions</w:t>
      </w:r>
      <w:r w:rsidR="00370D55">
        <w:rPr>
          <w:lang w:val="en-GB"/>
        </w:rPr>
        <w:t xml:space="preserve"> at important conferences</w:t>
      </w:r>
    </w:p>
    <w:p w14:paraId="3549CCF6" w14:textId="77777777" w:rsidR="00B5070B" w:rsidRPr="00786579" w:rsidRDefault="00786579" w:rsidP="00786579">
      <w:pPr>
        <w:pStyle w:val="Listenabsatz"/>
        <w:numPr>
          <w:ilvl w:val="0"/>
          <w:numId w:val="1"/>
        </w:numPr>
        <w:rPr>
          <w:lang w:val="en-GB"/>
        </w:rPr>
      </w:pPr>
      <w:r w:rsidRPr="00786579">
        <w:rPr>
          <w:lang w:val="en-GB"/>
        </w:rPr>
        <w:t xml:space="preserve">More visibility for organised sessions and joint papers via the </w:t>
      </w:r>
      <w:proofErr w:type="spellStart"/>
      <w:r w:rsidRPr="00786579">
        <w:rPr>
          <w:lang w:val="en-GB"/>
        </w:rPr>
        <w:t>Panta</w:t>
      </w:r>
      <w:proofErr w:type="spellEnd"/>
      <w:r w:rsidRPr="00786579">
        <w:rPr>
          <w:lang w:val="en-GB"/>
        </w:rPr>
        <w:t xml:space="preserve"> </w:t>
      </w:r>
      <w:proofErr w:type="spellStart"/>
      <w:r w:rsidRPr="00786579">
        <w:rPr>
          <w:lang w:val="en-GB"/>
        </w:rPr>
        <w:t>Rhei</w:t>
      </w:r>
      <w:proofErr w:type="spellEnd"/>
      <w:r w:rsidRPr="00786579">
        <w:rPr>
          <w:lang w:val="en-GB"/>
        </w:rPr>
        <w:t xml:space="preserve"> web-site</w:t>
      </w:r>
      <w:r w:rsidR="00B5070B" w:rsidRPr="00786579">
        <w:rPr>
          <w:lang w:val="en-GB"/>
        </w:rPr>
        <w:t xml:space="preserve">  </w:t>
      </w:r>
    </w:p>
    <w:p w14:paraId="1FD85FB1" w14:textId="77777777" w:rsidR="00B5070B" w:rsidRPr="00FA20E6" w:rsidRDefault="00B5070B" w:rsidP="008802BA">
      <w:pPr>
        <w:rPr>
          <w:lang w:val="en-GB"/>
        </w:rPr>
      </w:pPr>
      <w:bookmarkStart w:id="0" w:name="_GoBack"/>
      <w:bookmarkEnd w:id="0"/>
    </w:p>
    <w:sectPr w:rsidR="00B5070B" w:rsidRPr="00FA20E6" w:rsidSect="00A22ED1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5553"/>
    <w:multiLevelType w:val="hybridMultilevel"/>
    <w:tmpl w:val="38A8E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D1"/>
    <w:rsid w:val="00035F02"/>
    <w:rsid w:val="0003775C"/>
    <w:rsid w:val="00097FF8"/>
    <w:rsid w:val="000E7791"/>
    <w:rsid w:val="000F3D87"/>
    <w:rsid w:val="00354688"/>
    <w:rsid w:val="00370D55"/>
    <w:rsid w:val="00406ED4"/>
    <w:rsid w:val="005E1018"/>
    <w:rsid w:val="00614C11"/>
    <w:rsid w:val="00786579"/>
    <w:rsid w:val="008802BA"/>
    <w:rsid w:val="00A22ED1"/>
    <w:rsid w:val="00A9463C"/>
    <w:rsid w:val="00A96DAF"/>
    <w:rsid w:val="00AB00B2"/>
    <w:rsid w:val="00AB3541"/>
    <w:rsid w:val="00AE61C5"/>
    <w:rsid w:val="00B45D83"/>
    <w:rsid w:val="00B5070B"/>
    <w:rsid w:val="00C9469E"/>
    <w:rsid w:val="00CC02AE"/>
    <w:rsid w:val="00CE137C"/>
    <w:rsid w:val="00CF4F2A"/>
    <w:rsid w:val="00CF50CD"/>
    <w:rsid w:val="00CF53A3"/>
    <w:rsid w:val="00D663E7"/>
    <w:rsid w:val="00D73754"/>
    <w:rsid w:val="00DC2601"/>
    <w:rsid w:val="00E00B13"/>
    <w:rsid w:val="00E04763"/>
    <w:rsid w:val="00E533B5"/>
    <w:rsid w:val="00FA20E6"/>
    <w:rsid w:val="00FF10BC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51D9E"/>
  <w15:docId w15:val="{06EF4378-500C-4BC4-A253-FDC32596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4C11"/>
  </w:style>
  <w:style w:type="paragraph" w:styleId="berschrift1">
    <w:name w:val="heading 1"/>
    <w:basedOn w:val="Standard1"/>
    <w:next w:val="Standard1"/>
    <w:rsid w:val="00A22ED1"/>
    <w:pPr>
      <w:spacing w:before="240" w:after="60"/>
      <w:ind w:left="360" w:hanging="359"/>
      <w:outlineLvl w:val="0"/>
    </w:pPr>
    <w:rPr>
      <w:b/>
    </w:rPr>
  </w:style>
  <w:style w:type="paragraph" w:styleId="berschrift2">
    <w:name w:val="heading 2"/>
    <w:basedOn w:val="Standard1"/>
    <w:next w:val="Standard1"/>
    <w:rsid w:val="00A22ED1"/>
    <w:pPr>
      <w:spacing w:before="240" w:after="60"/>
      <w:ind w:left="792" w:hanging="431"/>
      <w:outlineLvl w:val="1"/>
    </w:pPr>
    <w:rPr>
      <w:b/>
      <w:i/>
    </w:rPr>
  </w:style>
  <w:style w:type="paragraph" w:styleId="berschrift3">
    <w:name w:val="heading 3"/>
    <w:basedOn w:val="Standard1"/>
    <w:next w:val="Standard1"/>
    <w:rsid w:val="00A22ED1"/>
    <w:pPr>
      <w:spacing w:before="240" w:after="60"/>
      <w:ind w:left="360" w:hanging="359"/>
      <w:outlineLvl w:val="2"/>
    </w:pPr>
  </w:style>
  <w:style w:type="paragraph" w:styleId="berschrift4">
    <w:name w:val="heading 4"/>
    <w:basedOn w:val="Standard1"/>
    <w:next w:val="Standard1"/>
    <w:rsid w:val="00A22ED1"/>
    <w:pPr>
      <w:spacing w:before="240" w:after="40"/>
      <w:outlineLvl w:val="3"/>
    </w:pPr>
    <w:rPr>
      <w:b/>
    </w:rPr>
  </w:style>
  <w:style w:type="paragraph" w:styleId="berschrift5">
    <w:name w:val="heading 5"/>
    <w:basedOn w:val="Standard1"/>
    <w:next w:val="Standard1"/>
    <w:rsid w:val="00A22ED1"/>
    <w:pPr>
      <w:spacing w:before="220" w:after="40"/>
      <w:outlineLvl w:val="4"/>
    </w:pPr>
    <w:rPr>
      <w:b/>
      <w:sz w:val="22"/>
    </w:rPr>
  </w:style>
  <w:style w:type="paragraph" w:styleId="berschrift6">
    <w:name w:val="heading 6"/>
    <w:basedOn w:val="Standard1"/>
    <w:next w:val="Standard1"/>
    <w:rsid w:val="00A22ED1"/>
    <w:pPr>
      <w:spacing w:before="200" w:after="40"/>
      <w:outlineLvl w:val="5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A22E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el">
    <w:name w:val="Title"/>
    <w:basedOn w:val="Standard1"/>
    <w:next w:val="Standard1"/>
    <w:rsid w:val="00A22ED1"/>
    <w:pPr>
      <w:spacing w:before="480" w:after="120"/>
    </w:pPr>
    <w:rPr>
      <w:b/>
      <w:sz w:val="72"/>
    </w:rPr>
  </w:style>
  <w:style w:type="paragraph" w:styleId="Untertitel">
    <w:name w:val="Subtitle"/>
    <w:basedOn w:val="Standard1"/>
    <w:next w:val="Standard1"/>
    <w:rsid w:val="00A22ED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F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F02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uiPriority w:val="59"/>
    <w:rsid w:val="00035F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AE61C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5070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70D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D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0D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D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0D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CF25A32-0746-4A90-B3EE-F958B1EB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2047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ICWRS report12_13.doc.docx</vt:lpstr>
      <vt:lpstr>ICWRS report12_13.doc.docx</vt:lpstr>
      <vt:lpstr>ICWRS report12_13.doc.docx</vt:lpstr>
    </vt:vector>
  </TitlesOfParts>
  <Company>Stichting Deltares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ICWRS report12_13.doc.docx</dc:title>
  <dc:creator>Dr. Heidi Kreibich</dc:creator>
  <cp:lastModifiedBy>Dr. Heidi Kreibich</cp:lastModifiedBy>
  <cp:revision>8</cp:revision>
  <dcterms:created xsi:type="dcterms:W3CDTF">2016-03-05T10:00:00Z</dcterms:created>
  <dcterms:modified xsi:type="dcterms:W3CDTF">2016-04-06T16:15:00Z</dcterms:modified>
</cp:coreProperties>
</file>